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708"/>
        <w:jc w:val="right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Приложение </w:t>
      </w:r>
      <w:r>
        <w:rPr>
          <w:rFonts w:ascii="Times New Roman" w:hAnsi="Times New Roman" w:cs="Times New Roman"/>
          <w:sz w:val="20"/>
          <w:szCs w:val="28"/>
        </w:rPr>
        <w:t xml:space="preserve">3</w:t>
      </w:r>
      <w:r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</w:p>
    <w:p>
      <w:pPr>
        <w:ind w:right="708"/>
        <w:jc w:val="right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 xml:space="preserve"> </w:t>
      </w:r>
      <w:r>
        <w:rPr>
          <w:rFonts w:ascii="Times New Roman" w:hAnsi="Times New Roman" w:cs="Times New Roman"/>
          <w:sz w:val="20"/>
          <w:szCs w:val="28"/>
        </w:rPr>
        <w:t xml:space="preserve">о</w:t>
      </w:r>
      <w:r>
        <w:rPr>
          <w:rFonts w:ascii="Times New Roman" w:hAnsi="Times New Roman" w:cs="Times New Roman"/>
          <w:sz w:val="20"/>
          <w:szCs w:val="28"/>
        </w:rPr>
        <w:t xml:space="preserve">т </w:t>
      </w:r>
      <w:r>
        <w:rPr>
          <w:rFonts w:ascii="Times New Roman" w:hAnsi="Times New Roman" w:cs="Times New Roman"/>
          <w:sz w:val="20"/>
          <w:szCs w:val="28"/>
        </w:rPr>
        <w:t xml:space="preserve">30</w:t>
      </w:r>
      <w:r>
        <w:rPr>
          <w:rFonts w:ascii="Times New Roman" w:hAnsi="Times New Roman" w:cs="Times New Roman"/>
          <w:sz w:val="20"/>
          <w:szCs w:val="28"/>
        </w:rPr>
        <w:t xml:space="preserve">.</w:t>
      </w:r>
      <w:r>
        <w:rPr>
          <w:rFonts w:ascii="Times New Roman" w:hAnsi="Times New Roman" w:cs="Times New Roman"/>
          <w:sz w:val="20"/>
          <w:szCs w:val="28"/>
        </w:rPr>
        <w:t xml:space="preserve">05</w:t>
      </w:r>
      <w:r>
        <w:rPr>
          <w:rFonts w:ascii="Times New Roman" w:hAnsi="Times New Roman" w:cs="Times New Roman"/>
          <w:sz w:val="20"/>
          <w:szCs w:val="28"/>
        </w:rPr>
        <w:t xml:space="preserve">.</w:t>
      </w:r>
      <w:r>
        <w:rPr>
          <w:rFonts w:ascii="Times New Roman" w:hAnsi="Times New Roman" w:cs="Times New Roman"/>
          <w:sz w:val="20"/>
          <w:szCs w:val="28"/>
        </w:rPr>
        <w:t xml:space="preserve">202</w:t>
      </w:r>
      <w:r>
        <w:rPr>
          <w:rFonts w:ascii="Times New Roman" w:hAnsi="Times New Roman" w:cs="Times New Roman"/>
          <w:sz w:val="20"/>
          <w:szCs w:val="28"/>
        </w:rPr>
        <w:t xml:space="preserve">5</w:t>
      </w:r>
      <w:r>
        <w:rPr>
          <w:rFonts w:ascii="Times New Roman" w:hAnsi="Times New Roman" w:cs="Times New Roman"/>
          <w:sz w:val="20"/>
          <w:szCs w:val="28"/>
        </w:rPr>
        <w:t xml:space="preserve"> № 1</w:t>
      </w:r>
      <w:r>
        <w:rPr>
          <w:rFonts w:ascii="Times New Roman" w:hAnsi="Times New Roman" w:cs="Times New Roman"/>
          <w:sz w:val="20"/>
          <w:szCs w:val="28"/>
        </w:rPr>
        <w:t xml:space="preserve">7</w:t>
      </w:r>
      <w:r>
        <w:rPr>
          <w:rFonts w:ascii="Times New Roman" w:hAnsi="Times New Roman" w:cs="Times New Roman"/>
          <w:sz w:val="20"/>
          <w:szCs w:val="28"/>
        </w:rPr>
        <w:t xml:space="preserve">5</w:t>
      </w:r>
      <w:r>
        <w:rPr>
          <w:rFonts w:ascii="Times New Roman" w:hAnsi="Times New Roman" w:cs="Times New Roman"/>
          <w:sz w:val="20"/>
          <w:szCs w:val="28"/>
        </w:rPr>
      </w:r>
    </w:p>
    <w:p>
      <w:pPr>
        <w:jc w:val="right"/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  <w:r>
        <w:rPr>
          <w:rFonts w:ascii="Times New Roman" w:hAnsi="Times New Roman" w:cs="Times New Roman"/>
          <w:sz w:val="20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</w:t>
      </w:r>
      <w:r>
        <w:rPr>
          <w:rFonts w:ascii="Times New Roman" w:hAnsi="Times New Roman" w:cs="Times New Roman"/>
          <w:b/>
          <w:sz w:val="28"/>
          <w:szCs w:val="28"/>
        </w:rPr>
        <w:t xml:space="preserve">остав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постоянно действующей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</w:t>
      </w:r>
      <w:r>
        <w:rPr>
          <w:rFonts w:ascii="Times New Roman" w:hAnsi="Times New Roman" w:cs="Times New Roman"/>
          <w:b/>
          <w:sz w:val="28"/>
          <w:szCs w:val="28"/>
        </w:rPr>
        <w:t xml:space="preserve">абочей группы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 подготовке проекта Тарифного соглашения на оплату медицинской помощи и распределению объемов медицинской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в рамках Комиссии по разработке Московской областной программы обязательного медицинского страхования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right="708"/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0" w:type="auto"/>
        <w:tblInd w:w="-284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2411"/>
        <w:gridCol w:w="327"/>
        <w:gridCol w:w="629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Максимов М.А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здравоохранения Московской области (председатель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рабочей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Раздорский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Кононова И.В.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Зинатулина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Отдельнова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О.Б.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Алаторцев А.В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з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аместитель директора Территориального фонда обязательного медицинского страхования Московской области</w:t>
            </w:r>
            <w:r>
              <w:t xml:space="preserve"> </w:t>
            </w:r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Мозалёв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организации стационарной медицинской помощи, медицинской реабилитации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санаторно-курортного лечения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Министерства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Кокоткин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И.Ю.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vMerge w:val="restart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Управления организации онкологической помощи Министерства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Митрофанова О.Е.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начальник Управления бюджетного планирования и финансового обеспечения государственных программ и мероприятий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Министерства здравоохранения Московской области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/>
            <w:r/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Ляккер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начальник Управления организации медицинской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помощи матерям и детям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Министерства здравоохранения Московской области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vMerge w:val="restart"/>
            <w:textDirection w:val="lrTb"/>
            <w:noWrap w:val="false"/>
          </w:tcPr>
          <w:p>
            <w:pPr>
              <w:pStyle w:val="836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Перцева В.А.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vMerge w:val="restart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vMerge w:val="restart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заместитель начальника Управления организации первичной медико-санитарной помощи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Министерства здравоохранения Московской области</w:t>
            </w:r>
            <w:r/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Истомин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заместитель 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начальник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а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 Управления экономики и бюджетной политики в сфере здравоохранения и социального развития М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инистерства экономики и финансов Московской области (по согласованию)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ind w:right="-2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Пирогов М.В.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п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рофессор кафедры организации здравоохранения и общественного здоровья ГБУЗ МО «Московский областной научно-исследовательский клинический институт им. М.Ф. Владимирского»</w:t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Соболев К.Э.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ГБУЗ МО «Московский областной научно-исследовательский клинический институт им М.Ф. Владимирского»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Мирзонов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МО «Химкинская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клиническ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больница»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Мисюкевич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врач ГБУЗ 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Мытищинская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клиническая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Бутаев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ГБУЗ 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Красногорская больница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Кузнецов М.В.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ГБУЗ МО «Воскресенская больница»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pStyle w:val="836"/>
              <w:jc w:val="both"/>
            </w:pPr>
            <w:r/>
            <w:r/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Одинаева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Н.Д.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иректор ГБУЗ МО «Научно-исследовательский клинический институт детства Министерства здравоохранени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411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Левицкая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27" w:type="dxa"/>
            <w:textDirection w:val="lrTb"/>
            <w:noWrap w:val="false"/>
          </w:tcPr>
          <w:p>
            <w:pPr>
              <w:pStyle w:val="836"/>
              <w:jc w:val="both"/>
            </w:pPr>
            <w:r>
              <w:t xml:space="preserve">-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293" w:type="dxa"/>
            <w:textDirection w:val="lrTb"/>
            <w:noWrap w:val="false"/>
          </w:tcPr>
          <w:p>
            <w:pPr>
              <w:pStyle w:val="8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ачальник Финансово-экономического управления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фонда обязательного медицинского страхования Московской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(секретарь рабочей группы)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709" w:right="850" w:bottom="568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tfoms mo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levitskaia_in</cp:lastModifiedBy>
  <cp:revision>5</cp:revision>
  <dcterms:created xsi:type="dcterms:W3CDTF">2025-04-25T11:12:00Z</dcterms:created>
  <dcterms:modified xsi:type="dcterms:W3CDTF">2025-05-30T09:20:25Z</dcterms:modified>
</cp:coreProperties>
</file>